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B5D" w:rsidRPr="006564CC" w:rsidRDefault="00366B5D" w:rsidP="00366B5D">
      <w:pPr>
        <w:rPr>
          <w:rFonts w:asciiTheme="minorHAnsi" w:eastAsiaTheme="minorHAnsi" w:hAnsiTheme="minorHAnsi"/>
          <w:b/>
          <w:sz w:val="22"/>
          <w:u w:val="single"/>
        </w:rPr>
      </w:pPr>
      <w:r w:rsidRPr="006564CC">
        <w:rPr>
          <w:rFonts w:asciiTheme="minorHAnsi" w:eastAsiaTheme="minorHAnsi" w:hAnsiTheme="minorHAnsi"/>
          <w:b/>
          <w:sz w:val="22"/>
          <w:u w:val="single"/>
        </w:rPr>
        <w:t xml:space="preserve">Annexe </w:t>
      </w:r>
      <w:r w:rsidR="006564CC" w:rsidRPr="006564CC">
        <w:rPr>
          <w:rFonts w:asciiTheme="minorHAnsi" w:eastAsiaTheme="minorHAnsi" w:hAnsiTheme="minorHAnsi"/>
          <w:b/>
          <w:sz w:val="22"/>
          <w:u w:val="single"/>
        </w:rPr>
        <w:t>8</w:t>
      </w:r>
      <w:r w:rsidRPr="006564CC">
        <w:rPr>
          <w:rFonts w:asciiTheme="minorHAnsi" w:eastAsiaTheme="minorHAnsi" w:hAnsiTheme="minorHAnsi"/>
          <w:b/>
          <w:sz w:val="22"/>
          <w:u w:val="single"/>
        </w:rPr>
        <w:t> : Traçabilité des missions</w:t>
      </w:r>
    </w:p>
    <w:p w:rsidR="00366B5D" w:rsidRDefault="00366B5D" w:rsidP="00366B5D">
      <w:pPr>
        <w:rPr>
          <w:rFonts w:asciiTheme="minorHAnsi" w:eastAsiaTheme="minorHAnsi" w:hAnsiTheme="minorHAnsi"/>
          <w:b/>
          <w:color w:val="4F6228" w:themeColor="accent3" w:themeShade="80"/>
          <w:sz w:val="24"/>
          <w:u w:val="single"/>
        </w:rPr>
      </w:pPr>
    </w:p>
    <w:p w:rsidR="00366B5D" w:rsidRPr="004A544F" w:rsidRDefault="00366B5D" w:rsidP="00366B5D">
      <w:pPr>
        <w:rPr>
          <w:rFonts w:asciiTheme="minorHAnsi" w:eastAsiaTheme="minorHAnsi" w:hAnsiTheme="minorHAnsi"/>
          <w:b/>
          <w:sz w:val="24"/>
          <w:u w:val="single"/>
        </w:rPr>
      </w:pPr>
      <w:r w:rsidRPr="006564CC">
        <w:rPr>
          <w:rFonts w:asciiTheme="minorHAnsi" w:eastAsiaTheme="minorHAnsi" w:hAnsiTheme="minorHAnsi"/>
          <w:b/>
          <w:u w:val="single"/>
        </w:rPr>
        <w:t xml:space="preserve">Création des tableaux de bord par </w:t>
      </w:r>
      <w:proofErr w:type="spellStart"/>
      <w:r w:rsidRPr="006564CC">
        <w:rPr>
          <w:rFonts w:asciiTheme="minorHAnsi" w:eastAsiaTheme="minorHAnsi" w:hAnsiTheme="minorHAnsi"/>
          <w:b/>
          <w:u w:val="single"/>
        </w:rPr>
        <w:t>Workflow</w:t>
      </w:r>
      <w:proofErr w:type="spellEnd"/>
    </w:p>
    <w:p w:rsidR="00366B5D" w:rsidRPr="008C56CD" w:rsidRDefault="00366B5D" w:rsidP="00366B5D">
      <w:pPr>
        <w:widowControl w:val="0"/>
        <w:jc w:val="both"/>
        <w:rPr>
          <w:rFonts w:asciiTheme="minorHAnsi" w:eastAsiaTheme="minorHAnsi" w:hAnsiTheme="minorHAnsi"/>
          <w:sz w:val="22"/>
          <w:lang w:eastAsia="en-US"/>
        </w:rPr>
      </w:pPr>
      <w:r w:rsidRPr="008C56CD">
        <w:rPr>
          <w:rFonts w:asciiTheme="minorHAnsi" w:eastAsiaTheme="minorHAnsi" w:hAnsiTheme="minorHAnsi"/>
          <w:sz w:val="22"/>
          <w:lang w:eastAsia="en-US"/>
        </w:rPr>
        <w:t>Les tableaux de suivi de bancarisation sont générés sur simple clic à partir du module Tableaux de bord de la planification. Ils présentent un réel intérêt pour suivre l’avancée des traitements de données dans le cadre de l’exécution du programme annuel physico-chimique et hydrobiologique.</w:t>
      </w:r>
    </w:p>
    <w:p w:rsidR="00366B5D" w:rsidRPr="008C56CD" w:rsidRDefault="00366B5D" w:rsidP="00366B5D">
      <w:pPr>
        <w:widowControl w:val="0"/>
        <w:jc w:val="both"/>
        <w:rPr>
          <w:rFonts w:asciiTheme="minorHAnsi" w:eastAsiaTheme="minorHAnsi" w:hAnsiTheme="minorHAnsi"/>
          <w:sz w:val="22"/>
          <w:lang w:eastAsia="en-US"/>
        </w:rPr>
      </w:pPr>
    </w:p>
    <w:p w:rsidR="00366B5D" w:rsidRPr="008C56CD" w:rsidRDefault="00366B5D" w:rsidP="00366B5D">
      <w:pPr>
        <w:widowControl w:val="0"/>
        <w:jc w:val="both"/>
        <w:rPr>
          <w:rFonts w:asciiTheme="minorHAnsi" w:hAnsiTheme="minorHAnsi"/>
          <w:sz w:val="24"/>
          <w:szCs w:val="24"/>
        </w:rPr>
      </w:pPr>
      <w:r w:rsidRPr="008C56CD">
        <w:rPr>
          <w:rFonts w:asciiTheme="minorHAnsi" w:hAnsiTheme="minorHAnsi"/>
          <w:sz w:val="22"/>
        </w:rPr>
        <w:t>Ce tableau de bord se présente sous la forme d’une grille avec pour chaque ligne les colonnes suivantes :</w:t>
      </w:r>
    </w:p>
    <w:p w:rsidR="00366B5D" w:rsidRPr="008C56CD" w:rsidRDefault="00366B5D" w:rsidP="00366B5D">
      <w:pPr>
        <w:widowControl w:val="0"/>
        <w:numPr>
          <w:ilvl w:val="0"/>
          <w:numId w:val="12"/>
        </w:numPr>
        <w:ind w:left="284" w:hanging="284"/>
        <w:contextualSpacing/>
        <w:jc w:val="both"/>
        <w:rPr>
          <w:rFonts w:asciiTheme="minorHAnsi" w:hAnsiTheme="minorHAnsi"/>
          <w:sz w:val="24"/>
          <w:szCs w:val="24"/>
        </w:rPr>
      </w:pPr>
      <w:r w:rsidRPr="008C56CD">
        <w:rPr>
          <w:rFonts w:asciiTheme="minorHAnsi" w:hAnsiTheme="minorHAnsi" w:cs="Arial"/>
          <w:sz w:val="22"/>
        </w:rPr>
        <w:t>le producteur de données</w:t>
      </w:r>
    </w:p>
    <w:p w:rsidR="00366B5D" w:rsidRPr="008C56CD" w:rsidRDefault="00366B5D" w:rsidP="00366B5D">
      <w:pPr>
        <w:widowControl w:val="0"/>
        <w:numPr>
          <w:ilvl w:val="0"/>
          <w:numId w:val="12"/>
        </w:numPr>
        <w:ind w:left="284" w:hanging="284"/>
        <w:contextualSpacing/>
        <w:jc w:val="both"/>
        <w:rPr>
          <w:rFonts w:asciiTheme="minorHAnsi" w:hAnsiTheme="minorHAnsi"/>
          <w:sz w:val="24"/>
          <w:szCs w:val="24"/>
        </w:rPr>
      </w:pPr>
      <w:r w:rsidRPr="008C56CD">
        <w:rPr>
          <w:rFonts w:asciiTheme="minorHAnsi" w:hAnsiTheme="minorHAnsi"/>
          <w:sz w:val="22"/>
        </w:rPr>
        <w:t>le prestataire (préleveur ou laboratoire) en charge des mesures,</w:t>
      </w:r>
    </w:p>
    <w:p w:rsidR="00366B5D" w:rsidRPr="008C56CD" w:rsidRDefault="00366B5D" w:rsidP="00366B5D">
      <w:pPr>
        <w:widowControl w:val="0"/>
        <w:numPr>
          <w:ilvl w:val="0"/>
          <w:numId w:val="12"/>
        </w:numPr>
        <w:ind w:left="284" w:hanging="284"/>
        <w:contextualSpacing/>
        <w:jc w:val="both"/>
        <w:rPr>
          <w:rFonts w:asciiTheme="minorHAnsi" w:hAnsiTheme="minorHAnsi"/>
          <w:sz w:val="24"/>
          <w:szCs w:val="24"/>
        </w:rPr>
      </w:pPr>
      <w:r w:rsidRPr="008C56CD">
        <w:rPr>
          <w:rFonts w:asciiTheme="minorHAnsi" w:hAnsiTheme="minorHAnsi"/>
          <w:sz w:val="22"/>
        </w:rPr>
        <w:t>le support de mesure (ex : eau),</w:t>
      </w:r>
    </w:p>
    <w:p w:rsidR="00366B5D" w:rsidRPr="008C56CD" w:rsidRDefault="00366B5D" w:rsidP="00366B5D">
      <w:pPr>
        <w:widowControl w:val="0"/>
        <w:numPr>
          <w:ilvl w:val="0"/>
          <w:numId w:val="12"/>
        </w:numPr>
        <w:ind w:left="284" w:hanging="284"/>
        <w:contextualSpacing/>
        <w:jc w:val="both"/>
        <w:rPr>
          <w:rFonts w:asciiTheme="minorHAnsi" w:hAnsiTheme="minorHAnsi"/>
          <w:sz w:val="24"/>
          <w:szCs w:val="24"/>
        </w:rPr>
      </w:pPr>
      <w:r w:rsidRPr="008C56CD">
        <w:rPr>
          <w:rFonts w:asciiTheme="minorHAnsi" w:hAnsiTheme="minorHAnsi"/>
          <w:sz w:val="22"/>
        </w:rPr>
        <w:t>le type de données (ex : Lot 1 cours d’eau),</w:t>
      </w:r>
    </w:p>
    <w:p w:rsidR="00366B5D" w:rsidRPr="008C56CD" w:rsidRDefault="00366B5D" w:rsidP="00366B5D">
      <w:pPr>
        <w:widowControl w:val="0"/>
        <w:numPr>
          <w:ilvl w:val="0"/>
          <w:numId w:val="12"/>
        </w:numPr>
        <w:ind w:left="284" w:hanging="284"/>
        <w:contextualSpacing/>
        <w:jc w:val="both"/>
        <w:rPr>
          <w:rFonts w:asciiTheme="minorHAnsi" w:hAnsiTheme="minorHAnsi"/>
          <w:sz w:val="22"/>
        </w:rPr>
      </w:pPr>
      <w:r w:rsidRPr="008C56CD">
        <w:rPr>
          <w:rFonts w:asciiTheme="minorHAnsi" w:hAnsiTheme="minorHAnsi"/>
          <w:sz w:val="22"/>
        </w:rPr>
        <w:t>le statut d’avancement pour chaque mois de la campagne.</w:t>
      </w:r>
    </w:p>
    <w:p w:rsidR="00366B5D" w:rsidRPr="008C56CD" w:rsidRDefault="00366B5D" w:rsidP="00366B5D">
      <w:pPr>
        <w:widowControl w:val="0"/>
        <w:jc w:val="both"/>
        <w:rPr>
          <w:rFonts w:asciiTheme="minorHAnsi" w:hAnsiTheme="minorHAnsi"/>
          <w:sz w:val="22"/>
        </w:rPr>
      </w:pPr>
    </w:p>
    <w:p w:rsidR="00366B5D" w:rsidRPr="008C56CD" w:rsidRDefault="00366B5D" w:rsidP="00366B5D">
      <w:pPr>
        <w:widowControl w:val="0"/>
        <w:jc w:val="both"/>
        <w:rPr>
          <w:rFonts w:asciiTheme="minorHAnsi" w:hAnsiTheme="minorHAnsi"/>
          <w:sz w:val="22"/>
        </w:rPr>
      </w:pPr>
      <w:r w:rsidRPr="008C56CD">
        <w:rPr>
          <w:rFonts w:asciiTheme="minorHAnsi" w:hAnsiTheme="minorHAnsi"/>
          <w:sz w:val="22"/>
        </w:rPr>
        <w:t>Dans l’exemple ci-dessous, l’arbre du tableau de bord, dans la colonne de gauche, a permis de filtrer la grille sur les données à MO AELB sous-traitées à EUROFINS :</w:t>
      </w:r>
    </w:p>
    <w:p w:rsidR="00366B5D" w:rsidRPr="008C56CD" w:rsidRDefault="00366B5D" w:rsidP="00366B5D">
      <w:pPr>
        <w:widowControl w:val="0"/>
        <w:jc w:val="both"/>
        <w:rPr>
          <w:rFonts w:asciiTheme="minorHAnsi" w:hAnsiTheme="minorHAnsi"/>
          <w:sz w:val="22"/>
        </w:rPr>
      </w:pPr>
      <w:r w:rsidRPr="008C56CD">
        <w:rPr>
          <w:rFonts w:asciiTheme="minorHAnsi" w:hAnsiTheme="minorHAnsi"/>
          <w:noProof/>
          <w:sz w:val="22"/>
        </w:rPr>
        <w:drawing>
          <wp:inline distT="0" distB="0" distL="0" distR="0" wp14:anchorId="4E4DC6BF" wp14:editId="18CE6C79">
            <wp:extent cx="5972810" cy="2621280"/>
            <wp:effectExtent l="0" t="0" r="8890" b="762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72810" cy="2621280"/>
                    </a:xfrm>
                    <a:prstGeom prst="rect">
                      <a:avLst/>
                    </a:prstGeom>
                  </pic:spPr>
                </pic:pic>
              </a:graphicData>
            </a:graphic>
          </wp:inline>
        </w:drawing>
      </w:r>
    </w:p>
    <w:p w:rsidR="00366B5D" w:rsidRPr="008C56CD" w:rsidRDefault="00366B5D" w:rsidP="00366B5D">
      <w:pPr>
        <w:widowControl w:val="0"/>
        <w:jc w:val="both"/>
        <w:rPr>
          <w:rFonts w:asciiTheme="minorHAnsi" w:hAnsiTheme="minorHAnsi"/>
          <w:sz w:val="24"/>
          <w:szCs w:val="24"/>
        </w:rPr>
      </w:pPr>
    </w:p>
    <w:p w:rsidR="00366B5D" w:rsidRPr="008C56CD" w:rsidRDefault="00366B5D" w:rsidP="00366B5D">
      <w:pPr>
        <w:widowControl w:val="0"/>
        <w:jc w:val="both"/>
        <w:rPr>
          <w:rFonts w:asciiTheme="minorHAnsi" w:hAnsiTheme="minorHAnsi"/>
          <w:sz w:val="22"/>
        </w:rPr>
      </w:pPr>
      <w:r w:rsidRPr="008C56CD">
        <w:rPr>
          <w:rFonts w:asciiTheme="minorHAnsi" w:hAnsiTheme="minorHAnsi"/>
          <w:sz w:val="22"/>
        </w:rPr>
        <w:t>La zone située en bas à droite de l’écran permet la visualisation des statistiques d’avancement des traitements pour la grille. Le taux est obtenu par calcul du pourcentage de cellules ayant atteint un stade de traitement (ordonné par couleur) par rapport au nombre de cellules total où des résultats sont attendus (ne prend pas en compte les cellules au statut non programmé (NP)).</w:t>
      </w:r>
    </w:p>
    <w:p w:rsidR="00366B5D" w:rsidRPr="008C56CD" w:rsidRDefault="00366B5D" w:rsidP="00366B5D">
      <w:pPr>
        <w:widowControl w:val="0"/>
        <w:jc w:val="both"/>
        <w:rPr>
          <w:rFonts w:asciiTheme="minorHAnsi" w:hAnsiTheme="minorHAnsi"/>
          <w:sz w:val="24"/>
          <w:szCs w:val="24"/>
        </w:rPr>
      </w:pPr>
    </w:p>
    <w:p w:rsidR="00366B5D" w:rsidRPr="008C56CD" w:rsidRDefault="00366B5D" w:rsidP="00366B5D">
      <w:pPr>
        <w:widowControl w:val="0"/>
        <w:jc w:val="both"/>
        <w:rPr>
          <w:rFonts w:asciiTheme="minorHAnsi" w:hAnsiTheme="minorHAnsi"/>
          <w:sz w:val="22"/>
        </w:rPr>
      </w:pPr>
      <w:r w:rsidRPr="008C56CD">
        <w:rPr>
          <w:rFonts w:asciiTheme="minorHAnsi" w:hAnsiTheme="minorHAnsi"/>
          <w:sz w:val="22"/>
        </w:rPr>
        <w:t xml:space="preserve">Chaque cellule des tableaux de bord est administrable par simple clic dans la cellule choisie. Le gestionnaire de données peut éditer le statut manuellement. </w:t>
      </w:r>
    </w:p>
    <w:p w:rsidR="00366B5D" w:rsidRPr="008C56CD" w:rsidRDefault="00366B5D" w:rsidP="00366B5D">
      <w:pPr>
        <w:widowControl w:val="0"/>
        <w:jc w:val="both"/>
        <w:rPr>
          <w:rFonts w:asciiTheme="minorHAnsi" w:hAnsiTheme="minorHAnsi"/>
          <w:sz w:val="22"/>
        </w:rPr>
      </w:pPr>
    </w:p>
    <w:p w:rsidR="00366B5D" w:rsidRPr="008C56CD" w:rsidRDefault="00366B5D" w:rsidP="00366B5D">
      <w:pPr>
        <w:widowControl w:val="0"/>
        <w:jc w:val="both"/>
        <w:rPr>
          <w:rFonts w:asciiTheme="minorHAnsi" w:hAnsiTheme="minorHAnsi"/>
          <w:sz w:val="22"/>
        </w:rPr>
      </w:pPr>
      <w:r w:rsidRPr="008C56CD">
        <w:rPr>
          <w:rFonts w:asciiTheme="minorHAnsi" w:hAnsiTheme="minorHAnsi"/>
          <w:sz w:val="22"/>
        </w:rPr>
        <w:t xml:space="preserve">Par défaut, le statut est « </w:t>
      </w:r>
      <w:proofErr w:type="spellStart"/>
      <w:r w:rsidRPr="008C56CD">
        <w:rPr>
          <w:rFonts w:asciiTheme="minorHAnsi" w:hAnsiTheme="minorHAnsi"/>
          <w:sz w:val="22"/>
        </w:rPr>
        <w:t>Np</w:t>
      </w:r>
      <w:proofErr w:type="spellEnd"/>
      <w:r w:rsidRPr="008C56CD">
        <w:rPr>
          <w:rFonts w:asciiTheme="minorHAnsi" w:hAnsiTheme="minorHAnsi"/>
          <w:sz w:val="22"/>
        </w:rPr>
        <w:t xml:space="preserve"> » : non programmé ou « P » : Programmé. Ce statut indique si des mesures sont attendues pour le mois en question. Il est généré automatiquement lors de l’élaboration du tableau de bord à partir de la planification. </w:t>
      </w:r>
    </w:p>
    <w:p w:rsidR="00366B5D" w:rsidRPr="008C56CD" w:rsidRDefault="00366B5D" w:rsidP="00366B5D">
      <w:pPr>
        <w:widowControl w:val="0"/>
        <w:jc w:val="both"/>
        <w:rPr>
          <w:rFonts w:asciiTheme="minorHAnsi" w:hAnsiTheme="minorHAnsi"/>
          <w:sz w:val="22"/>
          <w:szCs w:val="22"/>
        </w:rPr>
      </w:pPr>
    </w:p>
    <w:p w:rsidR="00366B5D" w:rsidRPr="008C56CD" w:rsidRDefault="00366B5D" w:rsidP="00366B5D">
      <w:pPr>
        <w:widowControl w:val="0"/>
        <w:jc w:val="both"/>
        <w:rPr>
          <w:rFonts w:asciiTheme="minorHAnsi" w:hAnsiTheme="minorHAnsi"/>
          <w:sz w:val="22"/>
          <w:szCs w:val="22"/>
        </w:rPr>
      </w:pPr>
      <w:r w:rsidRPr="008C56CD">
        <w:rPr>
          <w:rFonts w:asciiTheme="minorHAnsi" w:hAnsiTheme="minorHAnsi"/>
          <w:sz w:val="22"/>
          <w:szCs w:val="22"/>
        </w:rPr>
        <w:t xml:space="preserve">Les étapes de traitement sont personnalisables dans le « </w:t>
      </w:r>
      <w:proofErr w:type="spellStart"/>
      <w:r w:rsidRPr="008C56CD">
        <w:rPr>
          <w:rFonts w:asciiTheme="minorHAnsi" w:hAnsiTheme="minorHAnsi"/>
          <w:sz w:val="22"/>
          <w:szCs w:val="22"/>
        </w:rPr>
        <w:t>workflow</w:t>
      </w:r>
      <w:proofErr w:type="spellEnd"/>
      <w:r w:rsidRPr="008C56CD">
        <w:rPr>
          <w:rFonts w:asciiTheme="minorHAnsi" w:hAnsiTheme="minorHAnsi"/>
          <w:sz w:val="22"/>
          <w:szCs w:val="22"/>
        </w:rPr>
        <w:t xml:space="preserve"> » à condition d’en faire la demande auprès de l’AELB. </w:t>
      </w:r>
    </w:p>
    <w:p w:rsidR="00366B5D" w:rsidRPr="008C56CD" w:rsidRDefault="00366B5D" w:rsidP="00366B5D">
      <w:pPr>
        <w:widowControl w:val="0"/>
        <w:jc w:val="both"/>
        <w:rPr>
          <w:rFonts w:asciiTheme="minorHAnsi" w:hAnsiTheme="minorHAnsi"/>
          <w:sz w:val="22"/>
          <w:szCs w:val="22"/>
        </w:rPr>
      </w:pPr>
    </w:p>
    <w:p w:rsidR="00366B5D" w:rsidRPr="008C56CD" w:rsidRDefault="00366B5D" w:rsidP="00366B5D">
      <w:pPr>
        <w:widowControl w:val="0"/>
        <w:jc w:val="both"/>
        <w:rPr>
          <w:rFonts w:asciiTheme="minorHAnsi" w:hAnsiTheme="minorHAnsi"/>
          <w:sz w:val="24"/>
          <w:szCs w:val="24"/>
        </w:rPr>
      </w:pPr>
      <w:r w:rsidRPr="008C56CD">
        <w:rPr>
          <w:rFonts w:asciiTheme="minorHAnsi" w:hAnsiTheme="minorHAnsi"/>
          <w:sz w:val="22"/>
        </w:rPr>
        <w:t xml:space="preserve">Ce tableau de bord permet aux gestionnaires de données </w:t>
      </w:r>
      <w:r>
        <w:rPr>
          <w:rFonts w:asciiTheme="minorHAnsi" w:hAnsiTheme="minorHAnsi"/>
          <w:sz w:val="22"/>
        </w:rPr>
        <w:t xml:space="preserve">du coordinateur </w:t>
      </w:r>
      <w:r w:rsidRPr="008C56CD">
        <w:rPr>
          <w:rFonts w:asciiTheme="minorHAnsi" w:hAnsiTheme="minorHAnsi"/>
          <w:sz w:val="22"/>
        </w:rPr>
        <w:t>de conserver une trace de leurs actions</w:t>
      </w:r>
      <w:r>
        <w:rPr>
          <w:rFonts w:asciiTheme="minorHAnsi" w:hAnsiTheme="minorHAnsi"/>
          <w:sz w:val="22"/>
        </w:rPr>
        <w:t xml:space="preserve"> et de les partager avec les gestionnaires de données de l’AELB</w:t>
      </w:r>
      <w:r w:rsidRPr="008C56CD">
        <w:rPr>
          <w:rFonts w:asciiTheme="minorHAnsi" w:hAnsiTheme="minorHAnsi"/>
          <w:sz w:val="22"/>
        </w:rPr>
        <w:t xml:space="preserve">. </w:t>
      </w:r>
      <w:r>
        <w:rPr>
          <w:rFonts w:asciiTheme="minorHAnsi" w:hAnsiTheme="minorHAnsi"/>
          <w:sz w:val="22"/>
        </w:rPr>
        <w:t>Le coordinateur</w:t>
      </w:r>
      <w:r w:rsidRPr="008C56CD">
        <w:rPr>
          <w:rFonts w:asciiTheme="minorHAnsi" w:hAnsiTheme="minorHAnsi"/>
          <w:sz w:val="22"/>
        </w:rPr>
        <w:t xml:space="preserve"> </w:t>
      </w:r>
      <w:r>
        <w:rPr>
          <w:rFonts w:asciiTheme="minorHAnsi" w:hAnsiTheme="minorHAnsi"/>
          <w:sz w:val="22"/>
        </w:rPr>
        <w:t>le met</w:t>
      </w:r>
      <w:r w:rsidRPr="008C56CD">
        <w:rPr>
          <w:rFonts w:asciiTheme="minorHAnsi" w:hAnsiTheme="minorHAnsi"/>
          <w:sz w:val="22"/>
        </w:rPr>
        <w:t xml:space="preserve"> à </w:t>
      </w:r>
      <w:r w:rsidRPr="008C56CD">
        <w:rPr>
          <w:rFonts w:asciiTheme="minorHAnsi" w:hAnsiTheme="minorHAnsi"/>
          <w:sz w:val="22"/>
        </w:rPr>
        <w:lastRenderedPageBreak/>
        <w:t>jour manuellement tout au long du processus de collecte et de validation de la donnée.</w:t>
      </w:r>
    </w:p>
    <w:p w:rsidR="00366B5D" w:rsidRPr="008C56CD" w:rsidRDefault="00366B5D" w:rsidP="00366B5D">
      <w:pPr>
        <w:widowControl w:val="0"/>
        <w:jc w:val="both"/>
        <w:rPr>
          <w:rFonts w:asciiTheme="minorHAnsi" w:hAnsiTheme="minorHAnsi"/>
          <w:sz w:val="22"/>
        </w:rPr>
      </w:pPr>
    </w:p>
    <w:p w:rsidR="00366B5D" w:rsidRPr="008C56CD" w:rsidRDefault="00366B5D" w:rsidP="00366B5D">
      <w:pPr>
        <w:widowControl w:val="0"/>
        <w:jc w:val="both"/>
        <w:rPr>
          <w:rFonts w:asciiTheme="minorHAnsi" w:hAnsiTheme="minorHAnsi"/>
          <w:noProof/>
          <w:sz w:val="22"/>
        </w:rPr>
      </w:pPr>
      <w:r w:rsidRPr="008C56CD">
        <w:rPr>
          <w:rFonts w:asciiTheme="minorHAnsi" w:hAnsiTheme="minorHAnsi"/>
          <w:noProof/>
          <w:sz w:val="22"/>
        </w:rPr>
        <w:drawing>
          <wp:anchor distT="0" distB="0" distL="114300" distR="114300" simplePos="0" relativeHeight="251673600" behindDoc="0" locked="0" layoutInCell="1" allowOverlap="1" wp14:anchorId="422424B1" wp14:editId="7FA05FC1">
            <wp:simplePos x="0" y="0"/>
            <wp:positionH relativeFrom="column">
              <wp:posOffset>-36830</wp:posOffset>
            </wp:positionH>
            <wp:positionV relativeFrom="paragraph">
              <wp:posOffset>15875</wp:posOffset>
            </wp:positionV>
            <wp:extent cx="2057400" cy="2337435"/>
            <wp:effectExtent l="0" t="0" r="0" b="5715"/>
            <wp:wrapSquare wrapText="bothSides"/>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2057400" cy="2337435"/>
                    </a:xfrm>
                    <a:prstGeom prst="rect">
                      <a:avLst/>
                    </a:prstGeom>
                  </pic:spPr>
                </pic:pic>
              </a:graphicData>
            </a:graphic>
            <wp14:sizeRelH relativeFrom="page">
              <wp14:pctWidth>0</wp14:pctWidth>
            </wp14:sizeRelH>
            <wp14:sizeRelV relativeFrom="page">
              <wp14:pctHeight>0</wp14:pctHeight>
            </wp14:sizeRelV>
          </wp:anchor>
        </w:drawing>
      </w:r>
      <w:r w:rsidRPr="008C56CD">
        <w:rPr>
          <w:rFonts w:asciiTheme="minorHAnsi" w:hAnsiTheme="minorHAnsi"/>
          <w:sz w:val="22"/>
        </w:rPr>
        <w:t>Au-delà de la gestion du statut d’une cellule, il renseigne les informations statistiques et les commentaires détaillés sur les résultats des contrôles effectués sur les données d’une cellule et si besoin sur un lot de données (s’applique à toute une ligne du tableau de bord).</w:t>
      </w:r>
      <w:r w:rsidRPr="008C56CD">
        <w:rPr>
          <w:rFonts w:asciiTheme="minorHAnsi" w:hAnsiTheme="minorHAnsi"/>
          <w:noProof/>
          <w:sz w:val="22"/>
        </w:rPr>
        <w:t xml:space="preserve"> </w:t>
      </w:r>
    </w:p>
    <w:p w:rsidR="00366B5D" w:rsidRPr="008C56CD" w:rsidRDefault="00366B5D" w:rsidP="00366B5D">
      <w:pPr>
        <w:widowControl w:val="0"/>
        <w:jc w:val="both"/>
        <w:rPr>
          <w:rFonts w:asciiTheme="minorHAnsi" w:hAnsiTheme="minorHAnsi"/>
          <w:noProof/>
          <w:sz w:val="22"/>
        </w:rPr>
      </w:pPr>
    </w:p>
    <w:p w:rsidR="00366B5D" w:rsidRPr="008C56CD" w:rsidRDefault="00366B5D" w:rsidP="00366B5D">
      <w:pPr>
        <w:widowControl w:val="0"/>
        <w:jc w:val="both"/>
        <w:rPr>
          <w:rFonts w:asciiTheme="minorHAnsi" w:hAnsiTheme="minorHAnsi"/>
          <w:noProof/>
          <w:sz w:val="22"/>
        </w:rPr>
      </w:pPr>
      <w:r w:rsidRPr="008C56CD">
        <w:rPr>
          <w:rFonts w:asciiTheme="minorHAnsi" w:hAnsiTheme="minorHAnsi"/>
          <w:noProof/>
          <w:sz w:val="22"/>
        </w:rPr>
        <w:t>Dans l’exemple ci-contre, le gestionnaire de données a indiqué les statistiques générales sur les données du lot 2 cours d’eau de juillet 2018 avec les prélèvements manquants (PM), les valeurs manquantes (VM), les IP (inter-paramètres), les valeurs Hors-bornes (HB) et les LQ. De plus, il a bien stocké des informations complémentaires utiles en commentaire.</w:t>
      </w:r>
    </w:p>
    <w:p w:rsidR="00366B5D" w:rsidRPr="008C56CD" w:rsidRDefault="00366B5D" w:rsidP="00366B5D">
      <w:pPr>
        <w:widowControl w:val="0"/>
        <w:jc w:val="both"/>
        <w:rPr>
          <w:rFonts w:asciiTheme="minorHAnsi" w:hAnsiTheme="minorHAnsi"/>
          <w:noProof/>
          <w:sz w:val="22"/>
        </w:rPr>
      </w:pPr>
    </w:p>
    <w:p w:rsidR="00366B5D" w:rsidRPr="008C56CD" w:rsidRDefault="00366B5D" w:rsidP="00366B5D">
      <w:pPr>
        <w:widowControl w:val="0"/>
        <w:jc w:val="both"/>
        <w:rPr>
          <w:rFonts w:asciiTheme="minorHAnsi" w:hAnsiTheme="minorHAnsi"/>
          <w:noProof/>
          <w:sz w:val="22"/>
        </w:rPr>
      </w:pPr>
    </w:p>
    <w:p w:rsidR="00366B5D" w:rsidRPr="008C56CD" w:rsidRDefault="00366B5D" w:rsidP="00366B5D">
      <w:pPr>
        <w:widowControl w:val="0"/>
        <w:jc w:val="both"/>
        <w:rPr>
          <w:rFonts w:asciiTheme="minorHAnsi" w:hAnsiTheme="minorHAnsi"/>
          <w:sz w:val="22"/>
        </w:rPr>
      </w:pPr>
    </w:p>
    <w:p w:rsidR="00104514" w:rsidRDefault="00366B5D" w:rsidP="00E37038">
      <w:pPr>
        <w:keepNext/>
        <w:widowControl w:val="0"/>
        <w:spacing w:before="120" w:after="120"/>
        <w:ind w:left="1735"/>
        <w:jc w:val="both"/>
        <w:outlineLvl w:val="3"/>
        <w:rPr>
          <w:rFonts w:asciiTheme="minorHAnsi" w:hAnsiTheme="minorHAnsi"/>
          <w:sz w:val="22"/>
        </w:rPr>
      </w:pPr>
      <w:r w:rsidRPr="008C56CD">
        <w:rPr>
          <w:rFonts w:asciiTheme="minorHAnsi" w:hAnsiTheme="minorHAnsi"/>
          <w:sz w:val="22"/>
        </w:rPr>
        <w:t>L’AELB sera attentive aux opérations de contrôle et d’intégration de  différents types de données, à leurs mises à jour en base, à la retranscription des informations et des échanges avec les producteurs pour plus d’efficience.</w:t>
      </w:r>
    </w:p>
    <w:p w:rsidR="006564CC" w:rsidRDefault="006564CC" w:rsidP="006564CC">
      <w:pPr>
        <w:rPr>
          <w:rFonts w:asciiTheme="minorHAnsi" w:hAnsiTheme="minorHAnsi"/>
          <w:sz w:val="22"/>
        </w:rPr>
      </w:pPr>
    </w:p>
    <w:p w:rsidR="006564CC" w:rsidRDefault="006564CC" w:rsidP="006564CC">
      <w:pPr>
        <w:rPr>
          <w:rFonts w:asciiTheme="minorHAnsi" w:eastAsiaTheme="minorHAnsi" w:hAnsiTheme="minorHAnsi"/>
          <w:b/>
          <w:u w:val="single"/>
        </w:rPr>
      </w:pPr>
      <w:r>
        <w:rPr>
          <w:rFonts w:asciiTheme="minorHAnsi" w:eastAsiaTheme="minorHAnsi" w:hAnsiTheme="minorHAnsi"/>
          <w:b/>
          <w:u w:val="single"/>
        </w:rPr>
        <w:t>Tableau de suivi d’intégration des données d’autres producteurs</w:t>
      </w:r>
    </w:p>
    <w:p w:rsidR="006564CC" w:rsidRDefault="006564CC" w:rsidP="006564CC">
      <w:pPr>
        <w:rPr>
          <w:rFonts w:asciiTheme="minorHAnsi" w:eastAsiaTheme="minorHAnsi" w:hAnsiTheme="minorHAnsi"/>
          <w:b/>
          <w:u w:val="single"/>
        </w:rPr>
      </w:pPr>
    </w:p>
    <w:p w:rsidR="006564CC" w:rsidRDefault="006564CC" w:rsidP="00AB25FF">
      <w:pPr>
        <w:jc w:val="both"/>
        <w:rPr>
          <w:rFonts w:asciiTheme="minorHAnsi" w:hAnsiTheme="minorHAnsi"/>
          <w:sz w:val="22"/>
        </w:rPr>
      </w:pPr>
      <w:r w:rsidRPr="006564CC">
        <w:rPr>
          <w:rFonts w:asciiTheme="minorHAnsi" w:hAnsiTheme="minorHAnsi"/>
          <w:sz w:val="22"/>
        </w:rPr>
        <w:t>Le coordinateur dev</w:t>
      </w:r>
      <w:bookmarkStart w:id="0" w:name="_GoBack"/>
      <w:bookmarkEnd w:id="0"/>
      <w:r w:rsidRPr="006564CC">
        <w:rPr>
          <w:rFonts w:asciiTheme="minorHAnsi" w:hAnsiTheme="minorHAnsi"/>
          <w:sz w:val="22"/>
        </w:rPr>
        <w:t xml:space="preserve">ra </w:t>
      </w:r>
      <w:r>
        <w:rPr>
          <w:rFonts w:asciiTheme="minorHAnsi" w:hAnsiTheme="minorHAnsi"/>
          <w:sz w:val="22"/>
        </w:rPr>
        <w:t xml:space="preserve">produire un tableau de suivi en temps réel permettant à l’AELB et à d’autres personnes en faisant la demande, de voir l’avancée des traitements des données. </w:t>
      </w:r>
      <w:r w:rsidR="00AB25FF">
        <w:rPr>
          <w:rFonts w:asciiTheme="minorHAnsi" w:hAnsiTheme="minorHAnsi"/>
          <w:sz w:val="22"/>
        </w:rPr>
        <w:t>L’exemple</w:t>
      </w:r>
      <w:r>
        <w:rPr>
          <w:rFonts w:asciiTheme="minorHAnsi" w:hAnsiTheme="minorHAnsi"/>
          <w:sz w:val="22"/>
        </w:rPr>
        <w:t xml:space="preserve"> </w:t>
      </w:r>
      <w:r w:rsidR="00AB25FF">
        <w:rPr>
          <w:rFonts w:asciiTheme="minorHAnsi" w:hAnsiTheme="minorHAnsi"/>
          <w:sz w:val="22"/>
        </w:rPr>
        <w:t>présenté en annexe 8a peut</w:t>
      </w:r>
      <w:r>
        <w:rPr>
          <w:rFonts w:asciiTheme="minorHAnsi" w:hAnsiTheme="minorHAnsi"/>
          <w:sz w:val="22"/>
        </w:rPr>
        <w:t xml:space="preserve"> servir de base de travail </w:t>
      </w:r>
      <w:r w:rsidR="00AB25FF">
        <w:rPr>
          <w:rFonts w:asciiTheme="minorHAnsi" w:hAnsiTheme="minorHAnsi"/>
          <w:sz w:val="22"/>
        </w:rPr>
        <w:t>pour le</w:t>
      </w:r>
      <w:r>
        <w:rPr>
          <w:rFonts w:asciiTheme="minorHAnsi" w:hAnsiTheme="minorHAnsi"/>
          <w:sz w:val="22"/>
        </w:rPr>
        <w:t xml:space="preserve"> coordinateur</w:t>
      </w:r>
      <w:r w:rsidR="00AB25FF">
        <w:rPr>
          <w:rFonts w:asciiTheme="minorHAnsi" w:hAnsiTheme="minorHAnsi"/>
          <w:sz w:val="22"/>
        </w:rPr>
        <w:t>.</w:t>
      </w:r>
    </w:p>
    <w:p w:rsidR="006564CC" w:rsidRDefault="006564CC" w:rsidP="006564CC">
      <w:pPr>
        <w:rPr>
          <w:rFonts w:asciiTheme="minorHAnsi" w:hAnsiTheme="minorHAnsi"/>
          <w:sz w:val="22"/>
        </w:rPr>
      </w:pPr>
    </w:p>
    <w:p w:rsidR="006564CC" w:rsidRPr="006564CC" w:rsidRDefault="006564CC" w:rsidP="006564CC">
      <w:pPr>
        <w:rPr>
          <w:rFonts w:asciiTheme="minorHAnsi" w:hAnsiTheme="minorHAnsi"/>
          <w:sz w:val="22"/>
        </w:rPr>
      </w:pPr>
    </w:p>
    <w:p w:rsidR="006564CC" w:rsidRPr="00E37038" w:rsidRDefault="006564CC" w:rsidP="006564CC">
      <w:pPr>
        <w:keepNext/>
        <w:widowControl w:val="0"/>
        <w:spacing w:before="120" w:after="120"/>
        <w:jc w:val="both"/>
        <w:outlineLvl w:val="3"/>
        <w:rPr>
          <w:rFonts w:asciiTheme="minorHAnsi" w:eastAsiaTheme="minorHAnsi" w:hAnsiTheme="minorHAnsi"/>
          <w:b/>
          <w:color w:val="4F6228" w:themeColor="accent3" w:themeShade="80"/>
          <w:sz w:val="24"/>
          <w:u w:val="single"/>
        </w:rPr>
      </w:pPr>
    </w:p>
    <w:sectPr w:rsidR="006564CC" w:rsidRPr="00E370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EC8DB26"/>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00375B39"/>
    <w:multiLevelType w:val="hybridMultilevel"/>
    <w:tmpl w:val="4722507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EE9EBB20">
      <w:start w:val="2"/>
      <w:numFmt w:val="bullet"/>
      <w:lvlText w:val=""/>
      <w:lvlJc w:val="left"/>
      <w:pPr>
        <w:ind w:left="2160" w:hanging="360"/>
      </w:pPr>
      <w:rPr>
        <w:rFonts w:ascii="Wingdings" w:eastAsiaTheme="minorHAnsi" w:hAnsi="Wingdings" w:cs="Times New Roman"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A713C44"/>
    <w:multiLevelType w:val="hybridMultilevel"/>
    <w:tmpl w:val="7138F18C"/>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
    <w:nsid w:val="0B3A6D28"/>
    <w:multiLevelType w:val="hybridMultilevel"/>
    <w:tmpl w:val="54EC728E"/>
    <w:lvl w:ilvl="0" w:tplc="482AFAAA">
      <w:start w:val="1"/>
      <w:numFmt w:val="bullet"/>
      <w:pStyle w:val="ChapitresPuces"/>
      <w:lvlText w:val=""/>
      <w:lvlJc w:val="left"/>
      <w:pPr>
        <w:tabs>
          <w:tab w:val="num" w:pos="360"/>
        </w:tabs>
        <w:ind w:left="360" w:hanging="360"/>
      </w:pPr>
      <w:rPr>
        <w:rFonts w:ascii="Wingdings" w:hAnsi="Wingdings" w:hint="default"/>
      </w:rPr>
    </w:lvl>
    <w:lvl w:ilvl="1" w:tplc="D5406F6E">
      <w:numFmt w:val="bullet"/>
      <w:lvlText w:val="-"/>
      <w:lvlJc w:val="left"/>
      <w:pPr>
        <w:tabs>
          <w:tab w:val="num" w:pos="1080"/>
        </w:tabs>
        <w:ind w:left="1080" w:hanging="360"/>
      </w:pPr>
      <w:rPr>
        <w:rFonts w:ascii="Comic Sans MS" w:eastAsia="Times New Roman" w:hAnsi="Comic Sans MS" w:cs="Times New Roman"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nsid w:val="10A36D46"/>
    <w:multiLevelType w:val="hybridMultilevel"/>
    <w:tmpl w:val="B6B4A2CC"/>
    <w:lvl w:ilvl="0" w:tplc="040C0001">
      <w:start w:val="1"/>
      <w:numFmt w:val="bullet"/>
      <w:lvlText w:val=""/>
      <w:lvlJc w:val="left"/>
      <w:pPr>
        <w:ind w:left="1380" w:hanging="360"/>
      </w:pPr>
      <w:rPr>
        <w:rFonts w:ascii="Symbol" w:hAnsi="Symbol" w:hint="default"/>
      </w:rPr>
    </w:lvl>
    <w:lvl w:ilvl="1" w:tplc="040C0003" w:tentative="1">
      <w:start w:val="1"/>
      <w:numFmt w:val="bullet"/>
      <w:lvlText w:val="o"/>
      <w:lvlJc w:val="left"/>
      <w:pPr>
        <w:ind w:left="2100" w:hanging="360"/>
      </w:pPr>
      <w:rPr>
        <w:rFonts w:ascii="Courier New" w:hAnsi="Courier New" w:cs="Courier New" w:hint="default"/>
      </w:rPr>
    </w:lvl>
    <w:lvl w:ilvl="2" w:tplc="040C0005" w:tentative="1">
      <w:start w:val="1"/>
      <w:numFmt w:val="bullet"/>
      <w:lvlText w:val=""/>
      <w:lvlJc w:val="left"/>
      <w:pPr>
        <w:ind w:left="2820" w:hanging="360"/>
      </w:pPr>
      <w:rPr>
        <w:rFonts w:ascii="Wingdings" w:hAnsi="Wingdings" w:hint="default"/>
      </w:rPr>
    </w:lvl>
    <w:lvl w:ilvl="3" w:tplc="040C0001" w:tentative="1">
      <w:start w:val="1"/>
      <w:numFmt w:val="bullet"/>
      <w:lvlText w:val=""/>
      <w:lvlJc w:val="left"/>
      <w:pPr>
        <w:ind w:left="3540" w:hanging="360"/>
      </w:pPr>
      <w:rPr>
        <w:rFonts w:ascii="Symbol" w:hAnsi="Symbol" w:hint="default"/>
      </w:rPr>
    </w:lvl>
    <w:lvl w:ilvl="4" w:tplc="040C0003" w:tentative="1">
      <w:start w:val="1"/>
      <w:numFmt w:val="bullet"/>
      <w:lvlText w:val="o"/>
      <w:lvlJc w:val="left"/>
      <w:pPr>
        <w:ind w:left="4260" w:hanging="360"/>
      </w:pPr>
      <w:rPr>
        <w:rFonts w:ascii="Courier New" w:hAnsi="Courier New" w:cs="Courier New" w:hint="default"/>
      </w:rPr>
    </w:lvl>
    <w:lvl w:ilvl="5" w:tplc="040C0005" w:tentative="1">
      <w:start w:val="1"/>
      <w:numFmt w:val="bullet"/>
      <w:lvlText w:val=""/>
      <w:lvlJc w:val="left"/>
      <w:pPr>
        <w:ind w:left="4980" w:hanging="360"/>
      </w:pPr>
      <w:rPr>
        <w:rFonts w:ascii="Wingdings" w:hAnsi="Wingdings" w:hint="default"/>
      </w:rPr>
    </w:lvl>
    <w:lvl w:ilvl="6" w:tplc="040C0001" w:tentative="1">
      <w:start w:val="1"/>
      <w:numFmt w:val="bullet"/>
      <w:lvlText w:val=""/>
      <w:lvlJc w:val="left"/>
      <w:pPr>
        <w:ind w:left="5700" w:hanging="360"/>
      </w:pPr>
      <w:rPr>
        <w:rFonts w:ascii="Symbol" w:hAnsi="Symbol" w:hint="default"/>
      </w:rPr>
    </w:lvl>
    <w:lvl w:ilvl="7" w:tplc="040C0003" w:tentative="1">
      <w:start w:val="1"/>
      <w:numFmt w:val="bullet"/>
      <w:lvlText w:val="o"/>
      <w:lvlJc w:val="left"/>
      <w:pPr>
        <w:ind w:left="6420" w:hanging="360"/>
      </w:pPr>
      <w:rPr>
        <w:rFonts w:ascii="Courier New" w:hAnsi="Courier New" w:cs="Courier New" w:hint="default"/>
      </w:rPr>
    </w:lvl>
    <w:lvl w:ilvl="8" w:tplc="040C0005" w:tentative="1">
      <w:start w:val="1"/>
      <w:numFmt w:val="bullet"/>
      <w:lvlText w:val=""/>
      <w:lvlJc w:val="left"/>
      <w:pPr>
        <w:ind w:left="7140" w:hanging="360"/>
      </w:pPr>
      <w:rPr>
        <w:rFonts w:ascii="Wingdings" w:hAnsi="Wingdings" w:hint="default"/>
      </w:rPr>
    </w:lvl>
  </w:abstractNum>
  <w:abstractNum w:abstractNumId="5">
    <w:nsid w:val="1F45567B"/>
    <w:multiLevelType w:val="hybridMultilevel"/>
    <w:tmpl w:val="C756A6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B546FD1"/>
    <w:multiLevelType w:val="hybridMultilevel"/>
    <w:tmpl w:val="E32EE1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F256A3E"/>
    <w:multiLevelType w:val="hybridMultilevel"/>
    <w:tmpl w:val="678AA2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E875473"/>
    <w:multiLevelType w:val="hybridMultilevel"/>
    <w:tmpl w:val="DFA690F2"/>
    <w:lvl w:ilvl="0" w:tplc="0E4274BC">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D2F22D5"/>
    <w:multiLevelType w:val="hybridMultilevel"/>
    <w:tmpl w:val="747652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A6B4F96"/>
    <w:multiLevelType w:val="hybridMultilevel"/>
    <w:tmpl w:val="5696384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1">
    <w:nsid w:val="6E324831"/>
    <w:multiLevelType w:val="hybridMultilevel"/>
    <w:tmpl w:val="7EBA1D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06514E6"/>
    <w:multiLevelType w:val="hybridMultilevel"/>
    <w:tmpl w:val="6E588D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3"/>
  </w:num>
  <w:num w:numId="4">
    <w:abstractNumId w:val="9"/>
  </w:num>
  <w:num w:numId="5">
    <w:abstractNumId w:val="5"/>
  </w:num>
  <w:num w:numId="6">
    <w:abstractNumId w:val="4"/>
  </w:num>
  <w:num w:numId="7">
    <w:abstractNumId w:val="11"/>
  </w:num>
  <w:num w:numId="8">
    <w:abstractNumId w:val="0"/>
  </w:num>
  <w:num w:numId="9">
    <w:abstractNumId w:val="2"/>
  </w:num>
  <w:num w:numId="10">
    <w:abstractNumId w:val="10"/>
  </w:num>
  <w:num w:numId="11">
    <w:abstractNumId w:val="7"/>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7DB"/>
    <w:rsid w:val="00104514"/>
    <w:rsid w:val="00154820"/>
    <w:rsid w:val="00365B65"/>
    <w:rsid w:val="00366B5D"/>
    <w:rsid w:val="003D55B0"/>
    <w:rsid w:val="004B0759"/>
    <w:rsid w:val="004C01DA"/>
    <w:rsid w:val="00511912"/>
    <w:rsid w:val="00553DFA"/>
    <w:rsid w:val="006564CC"/>
    <w:rsid w:val="007B37DB"/>
    <w:rsid w:val="008B428A"/>
    <w:rsid w:val="00AB25FF"/>
    <w:rsid w:val="00E370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7DB"/>
    <w:pPr>
      <w:spacing w:after="0" w:line="240" w:lineRule="auto"/>
    </w:pPr>
    <w:rPr>
      <w:rFonts w:ascii="Arial" w:eastAsia="Times New Roman" w:hAnsi="Arial" w:cs="Times New Roman"/>
      <w:sz w:val="20"/>
      <w:szCs w:val="20"/>
      <w:lang w:eastAsia="fr-FR"/>
    </w:rPr>
  </w:style>
  <w:style w:type="paragraph" w:styleId="Titre1">
    <w:name w:val="heading 1"/>
    <w:basedOn w:val="Normal"/>
    <w:next w:val="Normal"/>
    <w:link w:val="Titre1Car"/>
    <w:uiPriority w:val="9"/>
    <w:qFormat/>
    <w:rsid w:val="0010451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4514"/>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154820"/>
    <w:pPr>
      <w:spacing w:after="0" w:line="240" w:lineRule="auto"/>
    </w:pPr>
    <w:rPr>
      <w:rFonts w:ascii="Arial" w:hAnsi="Arial"/>
      <w:sz w:val="20"/>
    </w:rPr>
  </w:style>
  <w:style w:type="paragraph" w:styleId="Paragraphedeliste">
    <w:name w:val="List Paragraph"/>
    <w:aliases w:val="texte tableau"/>
    <w:basedOn w:val="Normal"/>
    <w:link w:val="ParagraphedelisteCar"/>
    <w:uiPriority w:val="34"/>
    <w:qFormat/>
    <w:rsid w:val="007B37DB"/>
    <w:pPr>
      <w:widowControl w:val="0"/>
      <w:ind w:left="720"/>
      <w:contextualSpacing/>
      <w:jc w:val="both"/>
    </w:pPr>
    <w:rPr>
      <w:rFonts w:asciiTheme="minorHAnsi" w:hAnsiTheme="minorHAnsi"/>
      <w:sz w:val="22"/>
    </w:rPr>
  </w:style>
  <w:style w:type="character" w:customStyle="1" w:styleId="ParagraphedelisteCar">
    <w:name w:val="Paragraphe de liste Car"/>
    <w:aliases w:val="texte tableau Car"/>
    <w:basedOn w:val="Policepardfaut"/>
    <w:link w:val="Paragraphedeliste"/>
    <w:uiPriority w:val="34"/>
    <w:rsid w:val="007B37DB"/>
    <w:rPr>
      <w:rFonts w:eastAsia="Times New Roman" w:cs="Times New Roman"/>
      <w:szCs w:val="20"/>
      <w:lang w:eastAsia="fr-FR"/>
    </w:rPr>
  </w:style>
  <w:style w:type="paragraph" w:customStyle="1" w:styleId="ChapitresPuces">
    <w:name w:val="Chapitres Puces"/>
    <w:basedOn w:val="Normal"/>
    <w:rsid w:val="007B37DB"/>
    <w:pPr>
      <w:numPr>
        <w:numId w:val="3"/>
      </w:numPr>
      <w:autoSpaceDE w:val="0"/>
      <w:autoSpaceDN w:val="0"/>
      <w:adjustRightInd w:val="0"/>
      <w:jc w:val="both"/>
    </w:pPr>
    <w:rPr>
      <w:rFonts w:ascii="Comic Sans MS" w:hAnsi="Comic Sans MS"/>
      <w:sz w:val="22"/>
    </w:rPr>
  </w:style>
  <w:style w:type="table" w:customStyle="1" w:styleId="ListTable3Accent11">
    <w:name w:val="List Table 3 Accent 11"/>
    <w:basedOn w:val="TableauNormal"/>
    <w:uiPriority w:val="48"/>
    <w:rsid w:val="007B37DB"/>
    <w:pPr>
      <w:spacing w:after="0" w:line="240" w:lineRule="auto"/>
    </w:pPr>
    <w:rPr>
      <w:rFonts w:ascii="Calibri" w:eastAsia="Calibri" w:hAnsi="Calibri" w:cs="Times New Roman"/>
      <w:sz w:val="20"/>
      <w:szCs w:val="20"/>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paragraph" w:styleId="Listepuces">
    <w:name w:val="List Bullet"/>
    <w:basedOn w:val="Normal"/>
    <w:uiPriority w:val="99"/>
    <w:unhideWhenUsed/>
    <w:rsid w:val="007B37DB"/>
    <w:pPr>
      <w:numPr>
        <w:numId w:val="8"/>
      </w:numPr>
      <w:contextualSpacing/>
    </w:pPr>
  </w:style>
  <w:style w:type="paragraph" w:styleId="Textedebulles">
    <w:name w:val="Balloon Text"/>
    <w:basedOn w:val="Normal"/>
    <w:link w:val="TextedebullesCar"/>
    <w:uiPriority w:val="99"/>
    <w:semiHidden/>
    <w:unhideWhenUsed/>
    <w:rsid w:val="007B37DB"/>
    <w:rPr>
      <w:rFonts w:ascii="Tahoma" w:hAnsi="Tahoma" w:cs="Tahoma"/>
      <w:sz w:val="16"/>
      <w:szCs w:val="16"/>
    </w:rPr>
  </w:style>
  <w:style w:type="character" w:customStyle="1" w:styleId="TextedebullesCar">
    <w:name w:val="Texte de bulles Car"/>
    <w:basedOn w:val="Policepardfaut"/>
    <w:link w:val="Textedebulles"/>
    <w:uiPriority w:val="99"/>
    <w:semiHidden/>
    <w:rsid w:val="007B37DB"/>
    <w:rPr>
      <w:rFonts w:ascii="Tahoma" w:eastAsia="Times New Roman" w:hAnsi="Tahoma" w:cs="Tahoma"/>
      <w:sz w:val="16"/>
      <w:szCs w:val="16"/>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7DB"/>
    <w:pPr>
      <w:spacing w:after="0" w:line="240" w:lineRule="auto"/>
    </w:pPr>
    <w:rPr>
      <w:rFonts w:ascii="Arial" w:eastAsia="Times New Roman" w:hAnsi="Arial" w:cs="Times New Roman"/>
      <w:sz w:val="20"/>
      <w:szCs w:val="20"/>
      <w:lang w:eastAsia="fr-FR"/>
    </w:rPr>
  </w:style>
  <w:style w:type="paragraph" w:styleId="Titre1">
    <w:name w:val="heading 1"/>
    <w:basedOn w:val="Normal"/>
    <w:next w:val="Normal"/>
    <w:link w:val="Titre1Car"/>
    <w:uiPriority w:val="9"/>
    <w:qFormat/>
    <w:rsid w:val="0010451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4514"/>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154820"/>
    <w:pPr>
      <w:spacing w:after="0" w:line="240" w:lineRule="auto"/>
    </w:pPr>
    <w:rPr>
      <w:rFonts w:ascii="Arial" w:hAnsi="Arial"/>
      <w:sz w:val="20"/>
    </w:rPr>
  </w:style>
  <w:style w:type="paragraph" w:styleId="Paragraphedeliste">
    <w:name w:val="List Paragraph"/>
    <w:aliases w:val="texte tableau"/>
    <w:basedOn w:val="Normal"/>
    <w:link w:val="ParagraphedelisteCar"/>
    <w:uiPriority w:val="34"/>
    <w:qFormat/>
    <w:rsid w:val="007B37DB"/>
    <w:pPr>
      <w:widowControl w:val="0"/>
      <w:ind w:left="720"/>
      <w:contextualSpacing/>
      <w:jc w:val="both"/>
    </w:pPr>
    <w:rPr>
      <w:rFonts w:asciiTheme="minorHAnsi" w:hAnsiTheme="minorHAnsi"/>
      <w:sz w:val="22"/>
    </w:rPr>
  </w:style>
  <w:style w:type="character" w:customStyle="1" w:styleId="ParagraphedelisteCar">
    <w:name w:val="Paragraphe de liste Car"/>
    <w:aliases w:val="texte tableau Car"/>
    <w:basedOn w:val="Policepardfaut"/>
    <w:link w:val="Paragraphedeliste"/>
    <w:uiPriority w:val="34"/>
    <w:rsid w:val="007B37DB"/>
    <w:rPr>
      <w:rFonts w:eastAsia="Times New Roman" w:cs="Times New Roman"/>
      <w:szCs w:val="20"/>
      <w:lang w:eastAsia="fr-FR"/>
    </w:rPr>
  </w:style>
  <w:style w:type="paragraph" w:customStyle="1" w:styleId="ChapitresPuces">
    <w:name w:val="Chapitres Puces"/>
    <w:basedOn w:val="Normal"/>
    <w:rsid w:val="007B37DB"/>
    <w:pPr>
      <w:numPr>
        <w:numId w:val="3"/>
      </w:numPr>
      <w:autoSpaceDE w:val="0"/>
      <w:autoSpaceDN w:val="0"/>
      <w:adjustRightInd w:val="0"/>
      <w:jc w:val="both"/>
    </w:pPr>
    <w:rPr>
      <w:rFonts w:ascii="Comic Sans MS" w:hAnsi="Comic Sans MS"/>
      <w:sz w:val="22"/>
    </w:rPr>
  </w:style>
  <w:style w:type="table" w:customStyle="1" w:styleId="ListTable3Accent11">
    <w:name w:val="List Table 3 Accent 11"/>
    <w:basedOn w:val="TableauNormal"/>
    <w:uiPriority w:val="48"/>
    <w:rsid w:val="007B37DB"/>
    <w:pPr>
      <w:spacing w:after="0" w:line="240" w:lineRule="auto"/>
    </w:pPr>
    <w:rPr>
      <w:rFonts w:ascii="Calibri" w:eastAsia="Calibri" w:hAnsi="Calibri" w:cs="Times New Roman"/>
      <w:sz w:val="20"/>
      <w:szCs w:val="20"/>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108" w:type="dxa"/>
        <w:bottom w:w="0" w:type="dxa"/>
        <w:right w:w="108" w:type="dxa"/>
      </w:tblCellMar>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paragraph" w:styleId="Listepuces">
    <w:name w:val="List Bullet"/>
    <w:basedOn w:val="Normal"/>
    <w:uiPriority w:val="99"/>
    <w:unhideWhenUsed/>
    <w:rsid w:val="007B37DB"/>
    <w:pPr>
      <w:numPr>
        <w:numId w:val="8"/>
      </w:numPr>
      <w:contextualSpacing/>
    </w:pPr>
  </w:style>
  <w:style w:type="paragraph" w:styleId="Textedebulles">
    <w:name w:val="Balloon Text"/>
    <w:basedOn w:val="Normal"/>
    <w:link w:val="TextedebullesCar"/>
    <w:uiPriority w:val="99"/>
    <w:semiHidden/>
    <w:unhideWhenUsed/>
    <w:rsid w:val="007B37DB"/>
    <w:rPr>
      <w:rFonts w:ascii="Tahoma" w:hAnsi="Tahoma" w:cs="Tahoma"/>
      <w:sz w:val="16"/>
      <w:szCs w:val="16"/>
    </w:rPr>
  </w:style>
  <w:style w:type="character" w:customStyle="1" w:styleId="TextedebullesCar">
    <w:name w:val="Texte de bulles Car"/>
    <w:basedOn w:val="Policepardfaut"/>
    <w:link w:val="Textedebulles"/>
    <w:uiPriority w:val="99"/>
    <w:semiHidden/>
    <w:rsid w:val="007B37DB"/>
    <w:rPr>
      <w:rFonts w:ascii="Tahoma" w:eastAsia="Times New Roman" w:hAnsi="Tahoma" w:cs="Tahoma"/>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504</Words>
  <Characters>2773</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Agence de l'eau Loire-Bretagne</Company>
  <LinksUpToDate>false</LinksUpToDate>
  <CharactersWithSpaces>3271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JOLLY Sylvain</dc:creator>
  <cp:lastModifiedBy>JOLLY Sylvain</cp:lastModifiedBy>
  <cp:revision>3</cp:revision>
  <dcterms:created xsi:type="dcterms:W3CDTF">2021-04-26T15:14:00Z</dcterms:created>
  <dcterms:modified xsi:type="dcterms:W3CDTF">2021-05-19T10:38:00Z</dcterms:modified>
</cp:coreProperties>
</file>